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1CF" w14:textId="77777777" w:rsidR="0032481A" w:rsidRDefault="00677AD5">
      <w:pPr>
        <w:rPr>
          <w:lang w:val="en-US"/>
        </w:rPr>
      </w:pPr>
      <w:r>
        <w:rPr>
          <w:lang w:val="en-US"/>
        </w:rPr>
        <w:t xml:space="preserve">Carbon Budget Phase I Extension </w:t>
      </w:r>
    </w:p>
    <w:p w14:paraId="72E30B8E" w14:textId="77777777" w:rsidR="00677AD5" w:rsidRDefault="004611D2">
      <w:pPr>
        <w:rPr>
          <w:lang w:val="en-US"/>
        </w:rPr>
      </w:pPr>
      <w:r>
        <w:rPr>
          <w:lang w:val="en-US"/>
        </w:rPr>
        <w:t xml:space="preserve">Draft </w:t>
      </w:r>
      <w:r w:rsidR="00677AD5">
        <w:rPr>
          <w:lang w:val="en-US"/>
        </w:rPr>
        <w:t xml:space="preserve">Guidance Document </w:t>
      </w:r>
      <w:r>
        <w:rPr>
          <w:lang w:val="en-US"/>
        </w:rPr>
        <w:t>v0</w:t>
      </w:r>
      <w:r w:rsidR="00546885">
        <w:rPr>
          <w:lang w:val="en-US"/>
        </w:rPr>
        <w:t>2</w:t>
      </w:r>
      <w:r>
        <w:rPr>
          <w:lang w:val="en-US"/>
        </w:rPr>
        <w:t xml:space="preserve"> </w:t>
      </w:r>
    </w:p>
    <w:p w14:paraId="0B3F30C3" w14:textId="77777777" w:rsidR="004611D2" w:rsidRDefault="004611D2">
      <w:pPr>
        <w:rPr>
          <w:lang w:val="en-US"/>
        </w:rPr>
      </w:pPr>
      <w:r>
        <w:rPr>
          <w:lang w:val="en-US"/>
        </w:rPr>
        <w:t>1</w:t>
      </w:r>
      <w:r w:rsidR="00546885">
        <w:rPr>
          <w:lang w:val="en-US"/>
        </w:rPr>
        <w:t>2</w:t>
      </w:r>
      <w:r>
        <w:rPr>
          <w:lang w:val="en-US"/>
        </w:rPr>
        <w:t xml:space="preserve"> </w:t>
      </w:r>
      <w:r w:rsidR="00546885">
        <w:rPr>
          <w:lang w:val="en-US"/>
        </w:rPr>
        <w:t>February</w:t>
      </w:r>
      <w:r>
        <w:rPr>
          <w:lang w:val="en-US"/>
        </w:rPr>
        <w:t xml:space="preserve"> 202</w:t>
      </w:r>
      <w:r w:rsidR="00546885">
        <w:rPr>
          <w:lang w:val="en-US"/>
        </w:rPr>
        <w:t>1</w:t>
      </w:r>
    </w:p>
    <w:p w14:paraId="123E6B28" w14:textId="77777777" w:rsidR="00677AD5" w:rsidRDefault="00677AD5">
      <w:pPr>
        <w:rPr>
          <w:lang w:val="en-US"/>
        </w:rPr>
      </w:pPr>
    </w:p>
    <w:p w14:paraId="7FA1877D" w14:textId="77777777" w:rsidR="00FD7C9B" w:rsidRPr="00047D2E" w:rsidRDefault="00FD7C9B" w:rsidP="00FD7C9B">
      <w:pPr>
        <w:pStyle w:val="ListParagraph"/>
        <w:numPr>
          <w:ilvl w:val="0"/>
          <w:numId w:val="1"/>
        </w:numPr>
        <w:rPr>
          <w:b/>
          <w:color w:val="0070C0"/>
          <w:lang w:val="en-US"/>
        </w:rPr>
      </w:pPr>
      <w:r w:rsidRPr="00047D2E">
        <w:rPr>
          <w:b/>
          <w:color w:val="0070C0"/>
          <w:lang w:val="en-US"/>
        </w:rPr>
        <w:t xml:space="preserve">The conditions </w:t>
      </w:r>
      <w:r w:rsidR="004077EE" w:rsidRPr="00047D2E">
        <w:rPr>
          <w:b/>
          <w:color w:val="0070C0"/>
          <w:lang w:val="en-US"/>
        </w:rPr>
        <w:t xml:space="preserve">for </w:t>
      </w:r>
      <w:r w:rsidR="00047D2E" w:rsidRPr="00047D2E">
        <w:rPr>
          <w:b/>
          <w:color w:val="0070C0"/>
          <w:lang w:val="en-US"/>
        </w:rPr>
        <w:t>participating in Phase I Extension of C</w:t>
      </w:r>
      <w:r w:rsidRPr="00047D2E">
        <w:rPr>
          <w:b/>
          <w:color w:val="0070C0"/>
          <w:lang w:val="en-US"/>
        </w:rPr>
        <w:t xml:space="preserve">arbon </w:t>
      </w:r>
      <w:r w:rsidR="00047D2E" w:rsidRPr="00047D2E">
        <w:rPr>
          <w:b/>
          <w:color w:val="0070C0"/>
          <w:lang w:val="en-US"/>
        </w:rPr>
        <w:t>B</w:t>
      </w:r>
      <w:r w:rsidRPr="00047D2E">
        <w:rPr>
          <w:b/>
          <w:color w:val="0070C0"/>
          <w:lang w:val="en-US"/>
        </w:rPr>
        <w:t>udget</w:t>
      </w:r>
      <w:r w:rsidR="00047D2E" w:rsidRPr="00047D2E">
        <w:rPr>
          <w:b/>
          <w:color w:val="0070C0"/>
          <w:lang w:val="en-US"/>
        </w:rPr>
        <w:t>s</w:t>
      </w:r>
    </w:p>
    <w:p w14:paraId="72D7BBD2" w14:textId="77777777" w:rsidR="00FD7C9B" w:rsidRDefault="00CF5674" w:rsidP="00FD7C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Company must have relevant facilities r</w:t>
      </w:r>
      <w:r w:rsidR="00FD7C9B">
        <w:rPr>
          <w:lang w:val="en-US"/>
        </w:rPr>
        <w:t xml:space="preserve">egistered in </w:t>
      </w:r>
      <w:r w:rsidR="00FD7C9B" w:rsidRPr="00B83F63">
        <w:rPr>
          <w:b/>
          <w:lang w:val="en-US"/>
        </w:rPr>
        <w:t>SAGERS</w:t>
      </w:r>
    </w:p>
    <w:p w14:paraId="594D5967" w14:textId="3179F733" w:rsidR="00546885" w:rsidRDefault="00D871F2" w:rsidP="00FD7C9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 those companies that participated in the first phase of the CB process, a</w:t>
      </w:r>
      <w:r w:rsidR="00546885">
        <w:rPr>
          <w:lang w:val="en-US"/>
        </w:rPr>
        <w:t xml:space="preserve"> </w:t>
      </w:r>
      <w:r w:rsidR="00546885" w:rsidRPr="00B83F63">
        <w:rPr>
          <w:b/>
          <w:lang w:val="en-US"/>
        </w:rPr>
        <w:t>2016 to 2020 CB and PPP Performance Review</w:t>
      </w:r>
      <w:r w:rsidR="00546885">
        <w:rPr>
          <w:lang w:val="en-US"/>
        </w:rPr>
        <w:t xml:space="preserve"> submission must be submitted</w:t>
      </w:r>
      <w:r w:rsidR="00047D2E">
        <w:rPr>
          <w:lang w:val="en-US"/>
        </w:rPr>
        <w:t xml:space="preserve"> if a company has participated in Phase I carbon budgets.</w:t>
      </w:r>
    </w:p>
    <w:p w14:paraId="076BB6D6" w14:textId="77777777" w:rsidR="00546885" w:rsidRPr="00D871F2" w:rsidRDefault="00546885" w:rsidP="00FD7C9B">
      <w:pPr>
        <w:pStyle w:val="ListParagraph"/>
        <w:numPr>
          <w:ilvl w:val="0"/>
          <w:numId w:val="5"/>
        </w:numPr>
        <w:rPr>
          <w:lang w:val="en-US"/>
        </w:rPr>
      </w:pPr>
      <w:r w:rsidRPr="00D871F2">
        <w:rPr>
          <w:lang w:val="en-US"/>
        </w:rPr>
        <w:t xml:space="preserve">A </w:t>
      </w:r>
      <w:r w:rsidRPr="00D871F2">
        <w:rPr>
          <w:b/>
          <w:lang w:val="en-US"/>
        </w:rPr>
        <w:t>2020 annual PPP submission</w:t>
      </w:r>
      <w:r w:rsidRPr="00D871F2">
        <w:rPr>
          <w:lang w:val="en-US"/>
        </w:rPr>
        <w:t xml:space="preserve"> must be completed</w:t>
      </w:r>
      <w:r w:rsidR="00047D2E" w:rsidRPr="00D871F2">
        <w:rPr>
          <w:lang w:val="en-US"/>
        </w:rPr>
        <w:t xml:space="preserve"> if required to do so.</w:t>
      </w:r>
      <w:r w:rsidR="00B83F63" w:rsidRPr="00D871F2">
        <w:rPr>
          <w:lang w:val="en-US"/>
        </w:rPr>
        <w:t xml:space="preserve"> </w:t>
      </w:r>
    </w:p>
    <w:p w14:paraId="44A034D5" w14:textId="77777777" w:rsidR="004077EE" w:rsidRPr="00D871F2" w:rsidRDefault="004077EE" w:rsidP="004077EE">
      <w:pPr>
        <w:pStyle w:val="ListParagraph"/>
        <w:numPr>
          <w:ilvl w:val="0"/>
          <w:numId w:val="5"/>
        </w:numPr>
        <w:rPr>
          <w:lang w:val="en-US"/>
        </w:rPr>
      </w:pPr>
      <w:r w:rsidRPr="00D871F2">
        <w:rPr>
          <w:b/>
          <w:lang w:val="en-US"/>
        </w:rPr>
        <w:t>Any company wishing to participate</w:t>
      </w:r>
      <w:r w:rsidRPr="00D871F2">
        <w:rPr>
          <w:lang w:val="en-US"/>
        </w:rPr>
        <w:t xml:space="preserve"> in the Carbon Budget progr</w:t>
      </w:r>
      <w:r w:rsidR="00546885" w:rsidRPr="00D871F2">
        <w:rPr>
          <w:lang w:val="en-US"/>
        </w:rPr>
        <w:t>amme may submit an application,</w:t>
      </w:r>
      <w:r w:rsidRPr="00D871F2">
        <w:rPr>
          <w:lang w:val="en-US"/>
        </w:rPr>
        <w:t xml:space="preserve"> </w:t>
      </w:r>
      <w:r w:rsidR="00546885" w:rsidRPr="00D871F2">
        <w:rPr>
          <w:lang w:val="en-US"/>
        </w:rPr>
        <w:t>no threshold is required</w:t>
      </w:r>
    </w:p>
    <w:p w14:paraId="1331019D" w14:textId="77777777" w:rsidR="00E72EC1" w:rsidRPr="00E72EC1" w:rsidRDefault="00E72EC1" w:rsidP="00E72EC1">
      <w:pPr>
        <w:pStyle w:val="ListParagraph"/>
        <w:rPr>
          <w:lang w:val="en-US"/>
        </w:rPr>
      </w:pPr>
    </w:p>
    <w:p w14:paraId="5A17A96B" w14:textId="77777777" w:rsidR="00B703D9" w:rsidRPr="00B703D9" w:rsidRDefault="00B703D9" w:rsidP="00B703D9">
      <w:pPr>
        <w:pStyle w:val="ListParagraph"/>
        <w:numPr>
          <w:ilvl w:val="0"/>
          <w:numId w:val="1"/>
        </w:numPr>
        <w:rPr>
          <w:b/>
          <w:color w:val="0070C0"/>
          <w:lang w:val="en-US"/>
        </w:rPr>
      </w:pPr>
      <w:r w:rsidRPr="00B703D9">
        <w:rPr>
          <w:b/>
          <w:color w:val="0070C0"/>
          <w:lang w:val="en-US"/>
        </w:rPr>
        <w:t xml:space="preserve">Carbon Budget submission are to include: </w:t>
      </w:r>
    </w:p>
    <w:p w14:paraId="58CB4F5A" w14:textId="2875C74C" w:rsidR="00B703D9" w:rsidRDefault="00B703D9" w:rsidP="00B703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Pr="00B703D9">
        <w:rPr>
          <w:b/>
          <w:lang w:val="en-US"/>
        </w:rPr>
        <w:t xml:space="preserve">carbon budget period for the Phase 1 </w:t>
      </w:r>
      <w:r>
        <w:rPr>
          <w:b/>
          <w:lang w:val="en-US"/>
        </w:rPr>
        <w:t>E</w:t>
      </w:r>
      <w:r w:rsidRPr="00B703D9">
        <w:rPr>
          <w:b/>
          <w:lang w:val="en-US"/>
        </w:rPr>
        <w:t>xtension will be 5 calendar years</w:t>
      </w:r>
      <w:r>
        <w:rPr>
          <w:lang w:val="en-US"/>
        </w:rPr>
        <w:t>. Data must include 1 January 202</w:t>
      </w:r>
      <w:r w:rsidR="00D871F2">
        <w:rPr>
          <w:lang w:val="en-US"/>
        </w:rPr>
        <w:t>1</w:t>
      </w:r>
      <w:r>
        <w:rPr>
          <w:lang w:val="en-US"/>
        </w:rPr>
        <w:t xml:space="preserve"> to 31 December 2025 data projections.</w:t>
      </w:r>
    </w:p>
    <w:p w14:paraId="0AB0159A" w14:textId="77777777" w:rsidR="00B703D9" w:rsidRDefault="00B703D9" w:rsidP="00B703D9">
      <w:pPr>
        <w:pStyle w:val="ListParagraph"/>
        <w:numPr>
          <w:ilvl w:val="1"/>
          <w:numId w:val="3"/>
        </w:numPr>
        <w:rPr>
          <w:lang w:val="en-US"/>
        </w:rPr>
      </w:pPr>
      <w:r w:rsidRPr="00B703D9">
        <w:rPr>
          <w:b/>
          <w:lang w:val="en-US"/>
        </w:rPr>
        <w:t>For new companies that have not participated in Phase I</w:t>
      </w:r>
      <w:r>
        <w:rPr>
          <w:lang w:val="en-US"/>
        </w:rPr>
        <w:t xml:space="preserve"> carbon budgets, 1 January 2016 to 31 December 2020 actual data must also be included.</w:t>
      </w:r>
    </w:p>
    <w:p w14:paraId="2039699F" w14:textId="77777777" w:rsidR="00A01F25" w:rsidRDefault="00B703D9" w:rsidP="00B703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All Direct emissions under </w:t>
      </w:r>
      <w:r w:rsidRPr="00FD7C9B">
        <w:rPr>
          <w:u w:val="single"/>
          <w:lang w:val="en-US"/>
        </w:rPr>
        <w:t>operational control</w:t>
      </w:r>
      <w:r w:rsidR="00A01F25">
        <w:rPr>
          <w:lang w:val="en-US"/>
        </w:rPr>
        <w:t xml:space="preserve"> of a company within the national reporting boundaries should be reported:</w:t>
      </w:r>
    </w:p>
    <w:p w14:paraId="6DF9E3EB" w14:textId="1670C749" w:rsidR="00B703D9" w:rsidRPr="00D871F2" w:rsidRDefault="00B703D9" w:rsidP="00B703D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This is to include</w:t>
      </w:r>
      <w:r w:rsidR="00A01F25">
        <w:rPr>
          <w:lang w:val="en-US"/>
        </w:rPr>
        <w:t xml:space="preserve"> all greenhouse gases</w:t>
      </w:r>
      <w:r w:rsidR="00C75B49">
        <w:rPr>
          <w:lang w:val="en-US"/>
        </w:rPr>
        <w:t xml:space="preserve"> as listed in the GHG Reporting Regulations</w:t>
      </w:r>
      <w:r w:rsidR="00A01F25">
        <w:rPr>
          <w:lang w:val="en-US"/>
        </w:rPr>
        <w:t xml:space="preserve"> resulting from </w:t>
      </w:r>
      <w:r w:rsidRPr="00D871F2">
        <w:rPr>
          <w:lang w:val="en-US"/>
        </w:rPr>
        <w:t>fuel use</w:t>
      </w:r>
      <w:r w:rsidR="00D871F2" w:rsidRPr="00D871F2">
        <w:rPr>
          <w:lang w:val="en-US"/>
        </w:rPr>
        <w:t xml:space="preserve"> and processing</w:t>
      </w:r>
      <w:r w:rsidRPr="00D871F2">
        <w:rPr>
          <w:lang w:val="en-US"/>
        </w:rPr>
        <w:t>, process, fugitive</w:t>
      </w:r>
      <w:r w:rsidR="00A01F25" w:rsidRPr="00D871F2">
        <w:rPr>
          <w:lang w:val="en-US"/>
        </w:rPr>
        <w:t xml:space="preserve"> sources</w:t>
      </w:r>
    </w:p>
    <w:p w14:paraId="26A9A8F5" w14:textId="77777777" w:rsidR="00B703D9" w:rsidRPr="00D871F2" w:rsidRDefault="00A01F25" w:rsidP="00B53DE7">
      <w:pPr>
        <w:pStyle w:val="ListParagraph"/>
        <w:numPr>
          <w:ilvl w:val="1"/>
          <w:numId w:val="3"/>
        </w:numPr>
        <w:rPr>
          <w:lang w:val="en-US"/>
        </w:rPr>
      </w:pPr>
      <w:r w:rsidRPr="00D871F2">
        <w:rPr>
          <w:lang w:val="en-US"/>
        </w:rPr>
        <w:t>Activities to include</w:t>
      </w:r>
      <w:r w:rsidR="00B703D9" w:rsidRPr="00D871F2">
        <w:rPr>
          <w:lang w:val="en-US"/>
        </w:rPr>
        <w:t xml:space="preserve"> are not restricted to the activities listed in Reporting Regulations. All emissions are to be included </w:t>
      </w:r>
      <w:r w:rsidRPr="00D871F2">
        <w:rPr>
          <w:lang w:val="en-US"/>
        </w:rPr>
        <w:t xml:space="preserve">with the exception of </w:t>
      </w:r>
      <w:r w:rsidR="00B703D9" w:rsidRPr="000B5614">
        <w:rPr>
          <w:highlight w:val="yellow"/>
          <w:lang w:val="en-US"/>
        </w:rPr>
        <w:t>mobile road transport</w:t>
      </w:r>
      <w:r w:rsidRPr="00D871F2">
        <w:rPr>
          <w:lang w:val="en-US"/>
        </w:rPr>
        <w:t>.</w:t>
      </w:r>
    </w:p>
    <w:p w14:paraId="55C378C6" w14:textId="77777777" w:rsidR="00B703D9" w:rsidRPr="00D871F2" w:rsidRDefault="00B703D9" w:rsidP="00B53DE7">
      <w:pPr>
        <w:pStyle w:val="ListParagraph"/>
        <w:numPr>
          <w:ilvl w:val="1"/>
          <w:numId w:val="3"/>
        </w:numPr>
        <w:rPr>
          <w:lang w:val="en-US"/>
        </w:rPr>
      </w:pPr>
      <w:r w:rsidRPr="00D871F2">
        <w:rPr>
          <w:lang w:val="en-US"/>
        </w:rPr>
        <w:t>There is no threshold for materiality</w:t>
      </w:r>
      <w:r w:rsidR="00A01F25" w:rsidRPr="00D871F2">
        <w:rPr>
          <w:lang w:val="en-US"/>
        </w:rPr>
        <w:t>, all direct emissions should be included.</w:t>
      </w:r>
    </w:p>
    <w:p w14:paraId="46FD1F7E" w14:textId="31AFFF1F" w:rsidR="00A01F25" w:rsidRDefault="00A01F25" w:rsidP="00B53DE7">
      <w:pPr>
        <w:pStyle w:val="ListParagraph"/>
        <w:numPr>
          <w:ilvl w:val="1"/>
          <w:numId w:val="3"/>
        </w:numPr>
        <w:rPr>
          <w:lang w:val="en-US"/>
        </w:rPr>
      </w:pPr>
      <w:r w:rsidRPr="00D871F2">
        <w:rPr>
          <w:lang w:val="en-US"/>
        </w:rPr>
        <w:t>If data does not exist for an activity after company has made all attempts to acquire this data it is possible to approximate such data</w:t>
      </w:r>
      <w:r w:rsidR="00D871F2" w:rsidRPr="00D871F2">
        <w:rPr>
          <w:lang w:val="en-US"/>
        </w:rPr>
        <w:t xml:space="preserve"> using</w:t>
      </w:r>
      <w:r w:rsidR="00D871F2">
        <w:rPr>
          <w:lang w:val="en-US"/>
        </w:rPr>
        <w:t xml:space="preserve"> those surrogate methods stipulated in Chapter 5, Volume 1 of the 2006 IPCC Guidelines</w:t>
      </w:r>
      <w:r>
        <w:rPr>
          <w:lang w:val="en-US"/>
        </w:rPr>
        <w:t>. A clear and transparent method to approximate data is to be provided with the submission.</w:t>
      </w:r>
    </w:p>
    <w:p w14:paraId="77ADFD43" w14:textId="77777777" w:rsidR="00B703D9" w:rsidRDefault="00B703D9" w:rsidP="00B703D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Data is </w:t>
      </w:r>
      <w:r w:rsidRPr="00D871F2">
        <w:rPr>
          <w:lang w:val="en-US"/>
        </w:rPr>
        <w:t xml:space="preserve">to be provided </w:t>
      </w:r>
      <w:r w:rsidR="00A01F25" w:rsidRPr="00D871F2">
        <w:rPr>
          <w:lang w:val="en-US"/>
        </w:rPr>
        <w:t>at the</w:t>
      </w:r>
      <w:r w:rsidRPr="00D871F2">
        <w:rPr>
          <w:lang w:val="en-US"/>
        </w:rPr>
        <w:t xml:space="preserve"> facility level within the company. Clear</w:t>
      </w:r>
      <w:r>
        <w:rPr>
          <w:lang w:val="en-US"/>
        </w:rPr>
        <w:t xml:space="preserve"> and disaggregated data is to be provided to the level of fuel type, process type, activity data as well as emissions data.</w:t>
      </w:r>
    </w:p>
    <w:p w14:paraId="68D9E108" w14:textId="77777777" w:rsidR="00C75B49" w:rsidRPr="00D871F2" w:rsidRDefault="00C75B49" w:rsidP="00C75B4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Methods stated in the </w:t>
      </w:r>
      <w:r w:rsidRPr="00317D92">
        <w:rPr>
          <w:color w:val="0E101A"/>
        </w:rPr>
        <w:t>Technical Guidelines for Reporting of GHG Emission</w:t>
      </w:r>
      <w:r>
        <w:rPr>
          <w:color w:val="0E101A"/>
        </w:rPr>
        <w:t>s</w:t>
      </w:r>
      <w:r>
        <w:rPr>
          <w:lang w:val="en-US"/>
        </w:rPr>
        <w:t xml:space="preserve"> are to be followed</w:t>
      </w:r>
      <w:r w:rsidR="0047502F">
        <w:rPr>
          <w:lang w:val="en-US"/>
        </w:rPr>
        <w:t xml:space="preserve"> to estimate emissions</w:t>
      </w:r>
      <w:r>
        <w:rPr>
          <w:lang w:val="en-US"/>
        </w:rPr>
        <w:t xml:space="preserve">. If a specific activity or process, emission factor or other input is not listed in the </w:t>
      </w:r>
      <w:r w:rsidRPr="00317D92">
        <w:rPr>
          <w:color w:val="0E101A"/>
        </w:rPr>
        <w:t xml:space="preserve">Technical </w:t>
      </w:r>
      <w:r w:rsidRPr="00D871F2">
        <w:rPr>
          <w:color w:val="0E101A"/>
        </w:rPr>
        <w:t>Guidelines for Reporting of GHG Emissions</w:t>
      </w:r>
      <w:r w:rsidRPr="00D871F2">
        <w:rPr>
          <w:lang w:val="en-US"/>
        </w:rPr>
        <w:t xml:space="preserve">, the IPCC 2006 Guidelines is to be used. </w:t>
      </w:r>
    </w:p>
    <w:p w14:paraId="099AED1D" w14:textId="77777777" w:rsidR="00C75B49" w:rsidRPr="00C75B49" w:rsidRDefault="00C75B49" w:rsidP="00C75B49">
      <w:pPr>
        <w:pStyle w:val="ListParagraph"/>
        <w:numPr>
          <w:ilvl w:val="0"/>
          <w:numId w:val="3"/>
        </w:numPr>
        <w:rPr>
          <w:lang w:val="en-US"/>
        </w:rPr>
      </w:pPr>
      <w:r w:rsidRPr="00D871F2">
        <w:rPr>
          <w:lang w:val="en-US"/>
        </w:rPr>
        <w:t>The method used is to be the same as reported in the SAGERs system (e.g. tier</w:t>
      </w:r>
      <w:r>
        <w:rPr>
          <w:lang w:val="en-US"/>
        </w:rPr>
        <w:t xml:space="preserve"> approach used) </w:t>
      </w:r>
    </w:p>
    <w:p w14:paraId="17873905" w14:textId="54206021" w:rsidR="00B703D9" w:rsidRPr="00187945" w:rsidRDefault="00B703D9" w:rsidP="00B703D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A01F25">
        <w:rPr>
          <w:color w:val="000000" w:themeColor="text1"/>
          <w:lang w:val="en-US"/>
        </w:rPr>
        <w:t xml:space="preserve">The </w:t>
      </w:r>
      <w:r w:rsidR="00A01F25" w:rsidRPr="00D871F2">
        <w:rPr>
          <w:color w:val="000000" w:themeColor="text1"/>
          <w:lang w:val="en-US"/>
        </w:rPr>
        <w:t>submission</w:t>
      </w:r>
      <w:r w:rsidRPr="00D871F2">
        <w:rPr>
          <w:color w:val="000000" w:themeColor="text1"/>
          <w:lang w:val="en-US"/>
        </w:rPr>
        <w:t xml:space="preserve"> data and </w:t>
      </w:r>
      <w:r w:rsidR="00A01F25" w:rsidRPr="00D871F2">
        <w:rPr>
          <w:color w:val="000000" w:themeColor="text1"/>
          <w:lang w:val="en-US"/>
        </w:rPr>
        <w:t xml:space="preserve">associated </w:t>
      </w:r>
      <w:r w:rsidR="00D871F2">
        <w:rPr>
          <w:color w:val="000000" w:themeColor="text1"/>
          <w:lang w:val="en-US"/>
        </w:rPr>
        <w:t xml:space="preserve">assumptions and </w:t>
      </w:r>
      <w:r w:rsidRPr="00D871F2">
        <w:rPr>
          <w:color w:val="000000" w:themeColor="text1"/>
          <w:lang w:val="en-US"/>
        </w:rPr>
        <w:t>calculations is to be included and visible in</w:t>
      </w:r>
      <w:r w:rsidRPr="00A01F25">
        <w:rPr>
          <w:color w:val="000000" w:themeColor="text1"/>
          <w:lang w:val="en-US"/>
        </w:rPr>
        <w:t xml:space="preserve"> the carbon </w:t>
      </w:r>
      <w:r w:rsidRPr="00187945">
        <w:rPr>
          <w:color w:val="000000" w:themeColor="text1"/>
          <w:lang w:val="en-US"/>
        </w:rPr>
        <w:t>budget template document.</w:t>
      </w:r>
    </w:p>
    <w:p w14:paraId="39A3333B" w14:textId="77777777" w:rsidR="0047502F" w:rsidRPr="00187945" w:rsidRDefault="0047502F" w:rsidP="00B703D9">
      <w:pPr>
        <w:pStyle w:val="ListParagraph"/>
        <w:numPr>
          <w:ilvl w:val="0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t>Method to estimate Projected Emissions</w:t>
      </w:r>
      <w:r w:rsidR="00225AE0" w:rsidRPr="00187945">
        <w:rPr>
          <w:color w:val="000000" w:themeColor="text1"/>
          <w:lang w:val="en-US"/>
        </w:rPr>
        <w:t xml:space="preserve"> – note that an adjustment is possible to be made in the future</w:t>
      </w:r>
      <w:r w:rsidRPr="00187945">
        <w:rPr>
          <w:color w:val="000000" w:themeColor="text1"/>
          <w:lang w:val="en-US"/>
        </w:rPr>
        <w:t xml:space="preserve">: </w:t>
      </w:r>
    </w:p>
    <w:p w14:paraId="44F14409" w14:textId="77777777" w:rsidR="0047502F" w:rsidRPr="00187945" w:rsidRDefault="0047502F" w:rsidP="0047502F">
      <w:pPr>
        <w:pStyle w:val="ListParagraph"/>
        <w:numPr>
          <w:ilvl w:val="1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t xml:space="preserve">Production values and / or emissions intensities used for projected emissions should be based on the </w:t>
      </w:r>
      <w:r w:rsidR="00225AE0" w:rsidRPr="00187945">
        <w:rPr>
          <w:color w:val="000000" w:themeColor="text1"/>
          <w:lang w:val="en-US"/>
        </w:rPr>
        <w:t xml:space="preserve">options </w:t>
      </w:r>
      <w:r w:rsidRPr="00187945">
        <w:rPr>
          <w:color w:val="000000" w:themeColor="text1"/>
          <w:lang w:val="en-US"/>
        </w:rPr>
        <w:t xml:space="preserve">below. If the company wishes to estimate production values differently company specific and/or sectoral specific information should be included to justify the production values: </w:t>
      </w:r>
    </w:p>
    <w:p w14:paraId="76CBF2CB" w14:textId="77777777" w:rsidR="0047502F" w:rsidRPr="00187945" w:rsidRDefault="0047502F" w:rsidP="0047502F">
      <w:pPr>
        <w:pStyle w:val="ListParagraph"/>
        <w:numPr>
          <w:ilvl w:val="2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t>Production levels and are similar to a base year as selected within the period 2016 to 2020</w:t>
      </w:r>
    </w:p>
    <w:p w14:paraId="092E5AAC" w14:textId="77777777" w:rsidR="0047502F" w:rsidRPr="00187945" w:rsidRDefault="00A56D64" w:rsidP="0047502F">
      <w:pPr>
        <w:pStyle w:val="ListParagraph"/>
        <w:numPr>
          <w:ilvl w:val="2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t>Production g</w:t>
      </w:r>
      <w:r w:rsidR="0047502F" w:rsidRPr="00187945">
        <w:rPr>
          <w:color w:val="000000" w:themeColor="text1"/>
          <w:lang w:val="en-US"/>
        </w:rPr>
        <w:t>r</w:t>
      </w:r>
      <w:r w:rsidRPr="00187945">
        <w:rPr>
          <w:color w:val="000000" w:themeColor="text1"/>
          <w:lang w:val="en-US"/>
        </w:rPr>
        <w:t>owth rates are in line with National Treasury expected GDP growth rates</w:t>
      </w:r>
    </w:p>
    <w:p w14:paraId="525934F3" w14:textId="77777777" w:rsidR="00A56D64" w:rsidRPr="00187945" w:rsidRDefault="00A56D64" w:rsidP="00A56D64">
      <w:pPr>
        <w:pStyle w:val="ListParagraph"/>
        <w:numPr>
          <w:ilvl w:val="3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lastRenderedPageBreak/>
        <w:t>The Medium term budget speech suggests a 3.3% growth in 2021 and 2.1% growth thereafter</w:t>
      </w:r>
    </w:p>
    <w:p w14:paraId="43513E85" w14:textId="77777777" w:rsidR="00225AE0" w:rsidRPr="00187945" w:rsidRDefault="00225AE0" w:rsidP="00225AE0">
      <w:pPr>
        <w:pStyle w:val="ListParagraph"/>
        <w:numPr>
          <w:ilvl w:val="2"/>
          <w:numId w:val="3"/>
        </w:numPr>
        <w:rPr>
          <w:color w:val="000000" w:themeColor="text1"/>
          <w:lang w:val="en-US"/>
        </w:rPr>
      </w:pPr>
      <w:r w:rsidRPr="00187945">
        <w:rPr>
          <w:color w:val="000000" w:themeColor="text1"/>
          <w:lang w:val="en-US"/>
        </w:rPr>
        <w:t>Production growth is in line with company executive decisions and such evidence can be provided</w:t>
      </w:r>
    </w:p>
    <w:p w14:paraId="1ED851E7" w14:textId="77777777" w:rsidR="00A71D3B" w:rsidRDefault="00A71D3B" w:rsidP="00A71D3B">
      <w:pPr>
        <w:pStyle w:val="ListParagraph"/>
      </w:pPr>
    </w:p>
    <w:p w14:paraId="6BCADFBC" w14:textId="77777777" w:rsidR="00A71D3B" w:rsidRDefault="00A71D3B" w:rsidP="00A71D3B">
      <w:pPr>
        <w:pStyle w:val="ListParagraph"/>
      </w:pPr>
      <w:r w:rsidRPr="00187945">
        <w:t>Note, also, If intensities are used to project emissions the selected intensity must be justified and relevant to the current company circumstances.</w:t>
      </w:r>
      <w:r>
        <w:t xml:space="preserve"> </w:t>
      </w:r>
    </w:p>
    <w:p w14:paraId="60F620D0" w14:textId="77777777" w:rsidR="00A71D3B" w:rsidRPr="007E40E3" w:rsidRDefault="00A71D3B" w:rsidP="00A71D3B">
      <w:pPr>
        <w:pStyle w:val="ListParagraph"/>
        <w:ind w:left="2160"/>
        <w:rPr>
          <w:color w:val="000000" w:themeColor="text1"/>
          <w:highlight w:val="yellow"/>
          <w:lang w:val="en-US"/>
        </w:rPr>
      </w:pPr>
    </w:p>
    <w:p w14:paraId="5D55AC98" w14:textId="77777777" w:rsidR="00A01F25" w:rsidRPr="00187945" w:rsidRDefault="00B703D9" w:rsidP="00C70D1B">
      <w:pPr>
        <w:pStyle w:val="ListParagraph"/>
        <w:numPr>
          <w:ilvl w:val="0"/>
          <w:numId w:val="3"/>
        </w:numPr>
        <w:rPr>
          <w:lang w:val="en-US"/>
        </w:rPr>
      </w:pPr>
      <w:r w:rsidRPr="00A01F25">
        <w:rPr>
          <w:lang w:val="en-US"/>
        </w:rPr>
        <w:t xml:space="preserve">The data is to be </w:t>
      </w:r>
      <w:r w:rsidRPr="00187945">
        <w:rPr>
          <w:lang w:val="en-US"/>
        </w:rPr>
        <w:t xml:space="preserve">aggregated up to the entity level through clear and transparent calculations </w:t>
      </w:r>
    </w:p>
    <w:p w14:paraId="3ACB25AD" w14:textId="77777777" w:rsidR="00B703D9" w:rsidRDefault="00B703D9" w:rsidP="00C70D1B">
      <w:pPr>
        <w:pStyle w:val="ListParagraph"/>
        <w:numPr>
          <w:ilvl w:val="0"/>
          <w:numId w:val="3"/>
        </w:numPr>
        <w:rPr>
          <w:lang w:val="en-US"/>
        </w:rPr>
      </w:pPr>
      <w:r w:rsidRPr="00187945">
        <w:rPr>
          <w:lang w:val="en-US"/>
        </w:rPr>
        <w:t>The projected data submitted by the company should reflect the structure of the company at the time of submission. Including a change to the structure or operations (e.g. merging, expanding, selling of assets) can only be included if it has been formally signed by the board.  A</w:t>
      </w:r>
      <w:r w:rsidRPr="00A01F25">
        <w:rPr>
          <w:lang w:val="en-US"/>
        </w:rPr>
        <w:t xml:space="preserve"> review of the budget </w:t>
      </w:r>
      <w:r w:rsidR="00C75B49">
        <w:rPr>
          <w:lang w:val="en-US"/>
        </w:rPr>
        <w:t>is to</w:t>
      </w:r>
      <w:r w:rsidRPr="00A01F25">
        <w:rPr>
          <w:lang w:val="en-US"/>
        </w:rPr>
        <w:t xml:space="preserve"> be requested once the change is formally agreed upon and evidence of this can be provided to DEFF. </w:t>
      </w:r>
    </w:p>
    <w:p w14:paraId="1E712B40" w14:textId="4603816F" w:rsidR="00C75B49" w:rsidRDefault="00C75B49" w:rsidP="00C75B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 request </w:t>
      </w:r>
      <w:r w:rsidRPr="00187945">
        <w:rPr>
          <w:lang w:val="en-US"/>
        </w:rPr>
        <w:t xml:space="preserve">should be made if the change results in an increase or decrease in annual emissions of </w:t>
      </w:r>
      <w:r w:rsidR="00187945" w:rsidRPr="00187945">
        <w:rPr>
          <w:lang w:val="en-US"/>
        </w:rPr>
        <w:t>5 per cent</w:t>
      </w:r>
      <w:r w:rsidRPr="00187945">
        <w:rPr>
          <w:lang w:val="en-US"/>
        </w:rPr>
        <w:t xml:space="preserve"> or more.</w:t>
      </w:r>
    </w:p>
    <w:p w14:paraId="76950213" w14:textId="77777777" w:rsidR="00C75B49" w:rsidRDefault="00C75B49" w:rsidP="00C75B49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For a carbon budget adjustment, the company is to provide clarity on the change that warrants a review of the budget. Information should be provided on the emissions occurring without the change, after the change and the difference that will result from the change. </w:t>
      </w:r>
      <w:r w:rsidR="001C1982">
        <w:rPr>
          <w:lang w:val="en-US"/>
        </w:rPr>
        <w:t>See D. 8</w:t>
      </w:r>
    </w:p>
    <w:p w14:paraId="4D7D8C36" w14:textId="77777777" w:rsidR="00B703D9" w:rsidRPr="0047502F" w:rsidRDefault="00B703D9" w:rsidP="0047502F">
      <w:pPr>
        <w:spacing w:after="0"/>
        <w:rPr>
          <w:b/>
          <w:color w:val="0070C0"/>
          <w:lang w:val="en-US"/>
        </w:rPr>
      </w:pPr>
    </w:p>
    <w:p w14:paraId="6478D074" w14:textId="77777777" w:rsidR="002762ED" w:rsidRPr="00047D2E" w:rsidRDefault="005F4732" w:rsidP="002762ED">
      <w:pPr>
        <w:pStyle w:val="ListParagraph"/>
        <w:numPr>
          <w:ilvl w:val="0"/>
          <w:numId w:val="1"/>
        </w:numPr>
        <w:spacing w:after="0"/>
        <w:rPr>
          <w:b/>
          <w:color w:val="0070C0"/>
          <w:lang w:val="en-US"/>
        </w:rPr>
      </w:pPr>
      <w:r w:rsidRPr="00047D2E">
        <w:rPr>
          <w:b/>
          <w:color w:val="0070C0"/>
          <w:lang w:val="en-US"/>
        </w:rPr>
        <w:t>Administrative Process</w:t>
      </w:r>
      <w:r w:rsidR="002762ED" w:rsidRPr="00047D2E">
        <w:rPr>
          <w:b/>
          <w:color w:val="0070C0"/>
          <w:lang w:val="en-US"/>
        </w:rPr>
        <w:t xml:space="preserve"> of </w:t>
      </w:r>
      <w:r w:rsidR="00546885" w:rsidRPr="00047D2E">
        <w:rPr>
          <w:b/>
          <w:color w:val="0070C0"/>
          <w:lang w:val="en-US"/>
        </w:rPr>
        <w:t xml:space="preserve">Phase I Extension </w:t>
      </w:r>
      <w:r w:rsidR="002762ED" w:rsidRPr="00047D2E">
        <w:rPr>
          <w:b/>
          <w:color w:val="0070C0"/>
          <w:lang w:val="en-US"/>
        </w:rPr>
        <w:t>Carbon Budgets</w:t>
      </w:r>
      <w:r w:rsidR="00546885" w:rsidRPr="00047D2E">
        <w:rPr>
          <w:b/>
          <w:color w:val="0070C0"/>
          <w:lang w:val="en-US"/>
        </w:rPr>
        <w:t xml:space="preserve"> for companies</w:t>
      </w:r>
      <w:r w:rsidR="002762ED" w:rsidRPr="00047D2E">
        <w:rPr>
          <w:b/>
          <w:color w:val="0070C0"/>
          <w:lang w:val="en-US"/>
        </w:rPr>
        <w:t>:</w:t>
      </w:r>
    </w:p>
    <w:p w14:paraId="09E1CE02" w14:textId="77777777" w:rsidR="00555016" w:rsidRDefault="00555016" w:rsidP="00CF567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correspondence should be made by email to </w:t>
      </w:r>
      <w:hyperlink r:id="rId5" w:history="1">
        <w:r w:rsidRPr="00847EA5">
          <w:rPr>
            <w:rStyle w:val="Hyperlink"/>
            <w:lang w:val="en-US"/>
          </w:rPr>
          <w:t>CarbonBudget@environment.gov.za</w:t>
        </w:r>
      </w:hyperlink>
      <w:r>
        <w:rPr>
          <w:lang w:val="en-US"/>
        </w:rPr>
        <w:t xml:space="preserve"> </w:t>
      </w:r>
    </w:p>
    <w:p w14:paraId="36A8CA5D" w14:textId="77777777" w:rsidR="002762ED" w:rsidRPr="00047D2E" w:rsidRDefault="00D745BF" w:rsidP="00CF567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Complete s</w:t>
      </w:r>
      <w:r w:rsidR="002762ED" w:rsidRPr="00CF5674">
        <w:rPr>
          <w:lang w:val="en-US"/>
        </w:rPr>
        <w:t xml:space="preserve">ubmissions must be </w:t>
      </w:r>
      <w:r w:rsidR="00CF5674" w:rsidRPr="00187945">
        <w:rPr>
          <w:b/>
          <w:lang w:val="en-US"/>
        </w:rPr>
        <w:t>submitted</w:t>
      </w:r>
      <w:r w:rsidR="002762ED" w:rsidRPr="00187945">
        <w:rPr>
          <w:b/>
          <w:lang w:val="en-US"/>
        </w:rPr>
        <w:t xml:space="preserve"> </w:t>
      </w:r>
      <w:r w:rsidRPr="00187945">
        <w:rPr>
          <w:b/>
          <w:lang w:val="en-US"/>
        </w:rPr>
        <w:t>no later than</w:t>
      </w:r>
      <w:r w:rsidR="002762ED" w:rsidRPr="00187945">
        <w:rPr>
          <w:b/>
          <w:lang w:val="en-US"/>
        </w:rPr>
        <w:t xml:space="preserve"> 30 </w:t>
      </w:r>
      <w:r w:rsidR="00731835" w:rsidRPr="00187945">
        <w:rPr>
          <w:b/>
          <w:lang w:val="en-US"/>
        </w:rPr>
        <w:t>October</w:t>
      </w:r>
      <w:r w:rsidR="002762ED" w:rsidRPr="00187945">
        <w:rPr>
          <w:b/>
          <w:lang w:val="en-US"/>
        </w:rPr>
        <w:t xml:space="preserve"> 202</w:t>
      </w:r>
      <w:r w:rsidR="00731835" w:rsidRPr="00187945">
        <w:rPr>
          <w:b/>
          <w:lang w:val="en-US"/>
        </w:rPr>
        <w:t>1</w:t>
      </w:r>
      <w:r w:rsidR="00DC1545">
        <w:rPr>
          <w:lang w:val="en-US"/>
        </w:rPr>
        <w:t xml:space="preserve"> </w:t>
      </w:r>
    </w:p>
    <w:p w14:paraId="04682F00" w14:textId="77777777" w:rsidR="00677464" w:rsidRDefault="00677464" w:rsidP="0067746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 </w:t>
      </w:r>
      <w:r w:rsidRPr="00B83F63">
        <w:rPr>
          <w:b/>
          <w:lang w:val="en-US"/>
        </w:rPr>
        <w:t>suggested template</w:t>
      </w:r>
      <w:r>
        <w:rPr>
          <w:lang w:val="en-US"/>
        </w:rPr>
        <w:t xml:space="preserve"> is provided by DEFF.</w:t>
      </w:r>
    </w:p>
    <w:p w14:paraId="2BDFC4FB" w14:textId="77777777" w:rsidR="00047D2E" w:rsidRDefault="006F3D7B" w:rsidP="0067746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Companies who have participated in Phase I carbon budgets should submit 1 January 2021 to 31 December 2025 information.</w:t>
      </w:r>
    </w:p>
    <w:p w14:paraId="42948A94" w14:textId="77777777" w:rsidR="00677464" w:rsidRPr="00677464" w:rsidRDefault="00677464" w:rsidP="0067746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New companies (without a Phase I carbon budget) should submit historical data: </w:t>
      </w:r>
      <w:r w:rsidR="006F3D7B">
        <w:rPr>
          <w:lang w:val="en-US"/>
        </w:rPr>
        <w:t xml:space="preserve">1 January </w:t>
      </w:r>
      <w:r>
        <w:rPr>
          <w:lang w:val="en-US"/>
        </w:rPr>
        <w:t xml:space="preserve">2016 to </w:t>
      </w:r>
      <w:r w:rsidR="006F3D7B">
        <w:rPr>
          <w:lang w:val="en-US"/>
        </w:rPr>
        <w:t xml:space="preserve">31 December </w:t>
      </w:r>
      <w:r>
        <w:rPr>
          <w:lang w:val="en-US"/>
        </w:rPr>
        <w:t xml:space="preserve">2020 in addition to the 2021 to 2025 data. </w:t>
      </w:r>
    </w:p>
    <w:p w14:paraId="57952ED9" w14:textId="77777777" w:rsidR="00CF5674" w:rsidRPr="00CF5674" w:rsidRDefault="005F4732" w:rsidP="00CF5674">
      <w:pPr>
        <w:pStyle w:val="ListParagraph"/>
        <w:numPr>
          <w:ilvl w:val="0"/>
          <w:numId w:val="6"/>
        </w:numPr>
        <w:rPr>
          <w:lang w:val="en-US"/>
        </w:rPr>
      </w:pPr>
      <w:r w:rsidRPr="00B83F63">
        <w:rPr>
          <w:b/>
          <w:lang w:val="en-US"/>
        </w:rPr>
        <w:t>Acknowledgement of receipt</w:t>
      </w:r>
      <w:r w:rsidR="00B83F63">
        <w:rPr>
          <w:lang w:val="en-US"/>
        </w:rPr>
        <w:t xml:space="preserve"> of submission</w:t>
      </w:r>
      <w:r>
        <w:rPr>
          <w:lang w:val="en-US"/>
        </w:rPr>
        <w:t xml:space="preserve"> will be </w:t>
      </w:r>
      <w:r w:rsidRPr="00187945">
        <w:rPr>
          <w:lang w:val="en-US"/>
        </w:rPr>
        <w:t>sent within 72 hours.</w:t>
      </w:r>
      <w:r>
        <w:rPr>
          <w:lang w:val="en-US"/>
        </w:rPr>
        <w:t xml:space="preserve"> </w:t>
      </w:r>
    </w:p>
    <w:p w14:paraId="113327EE" w14:textId="77777777" w:rsidR="00555016" w:rsidRPr="00187945" w:rsidRDefault="00B83F63" w:rsidP="0096592E">
      <w:pPr>
        <w:pStyle w:val="ListParagraph"/>
        <w:numPr>
          <w:ilvl w:val="0"/>
          <w:numId w:val="6"/>
        </w:numPr>
        <w:rPr>
          <w:lang w:val="en-US"/>
        </w:rPr>
      </w:pPr>
      <w:r w:rsidRPr="00B83F63">
        <w:rPr>
          <w:b/>
          <w:lang w:val="en-US"/>
        </w:rPr>
        <w:t>Company responses to DEFF</w:t>
      </w:r>
      <w:r>
        <w:rPr>
          <w:lang w:val="en-US"/>
        </w:rPr>
        <w:t xml:space="preserve"> information </w:t>
      </w:r>
      <w:r w:rsidRPr="00187945">
        <w:rPr>
          <w:lang w:val="en-US"/>
        </w:rPr>
        <w:t>requests should occur</w:t>
      </w:r>
      <w:r w:rsidR="005F4732" w:rsidRPr="00187945">
        <w:rPr>
          <w:lang w:val="en-US"/>
        </w:rPr>
        <w:t xml:space="preserve"> within 4 weeks </w:t>
      </w:r>
    </w:p>
    <w:p w14:paraId="728F9AEB" w14:textId="77777777" w:rsidR="003639EC" w:rsidRPr="00187945" w:rsidRDefault="003639EC" w:rsidP="0096592E">
      <w:pPr>
        <w:pStyle w:val="ListParagraph"/>
        <w:numPr>
          <w:ilvl w:val="0"/>
          <w:numId w:val="6"/>
        </w:numPr>
        <w:rPr>
          <w:lang w:val="en-US"/>
        </w:rPr>
      </w:pPr>
      <w:r w:rsidRPr="00187945">
        <w:rPr>
          <w:lang w:val="en-US"/>
        </w:rPr>
        <w:t xml:space="preserve">Once all the necessary data is received by DEFF a </w:t>
      </w:r>
      <w:r w:rsidRPr="00187945">
        <w:rPr>
          <w:b/>
          <w:lang w:val="en-US"/>
        </w:rPr>
        <w:t>carbon budget allocation de</w:t>
      </w:r>
      <w:r w:rsidR="008F6C8F" w:rsidRPr="00187945">
        <w:rPr>
          <w:b/>
          <w:lang w:val="en-US"/>
        </w:rPr>
        <w:t>cision will occur within 6</w:t>
      </w:r>
      <w:r w:rsidR="008F6C8F" w:rsidRPr="00187945">
        <w:rPr>
          <w:lang w:val="en-US"/>
        </w:rPr>
        <w:t xml:space="preserve"> weeks</w:t>
      </w:r>
      <w:r w:rsidR="006F3D7B" w:rsidRPr="00187945">
        <w:rPr>
          <w:lang w:val="en-US"/>
        </w:rPr>
        <w:t xml:space="preserve"> after receiving the necessary data. T</w:t>
      </w:r>
      <w:r w:rsidR="008F6C8F" w:rsidRPr="00187945">
        <w:rPr>
          <w:lang w:val="en-US"/>
        </w:rPr>
        <w:t>he company will be notified by email.</w:t>
      </w:r>
    </w:p>
    <w:p w14:paraId="0A3711D3" w14:textId="77777777" w:rsidR="008F6C8F" w:rsidRDefault="008F6C8F" w:rsidP="00CF567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 </w:t>
      </w:r>
      <w:r w:rsidRPr="00B83F63">
        <w:rPr>
          <w:b/>
          <w:lang w:val="en-US"/>
        </w:rPr>
        <w:t>letter of allocation</w:t>
      </w:r>
      <w:r>
        <w:rPr>
          <w:lang w:val="en-US"/>
        </w:rPr>
        <w:t xml:space="preserve"> will be directed to the company to confirm the carbon budget once the budget has been finalized.</w:t>
      </w:r>
    </w:p>
    <w:p w14:paraId="7DB38738" w14:textId="77777777" w:rsidR="001C24A2" w:rsidRPr="00187945" w:rsidRDefault="008F6C8F" w:rsidP="00CF567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Once allocated, the company is to request a </w:t>
      </w:r>
      <w:r w:rsidRPr="00B83F63">
        <w:rPr>
          <w:b/>
          <w:lang w:val="en-US"/>
        </w:rPr>
        <w:t xml:space="preserve">carbon budget allocation </w:t>
      </w:r>
      <w:r w:rsidR="00B83F63" w:rsidRPr="00B83F63">
        <w:rPr>
          <w:b/>
          <w:lang w:val="en-US"/>
        </w:rPr>
        <w:t>adjustment</w:t>
      </w:r>
      <w:r w:rsidR="00BC1B9D">
        <w:rPr>
          <w:lang w:val="en-US"/>
        </w:rPr>
        <w:t xml:space="preserve"> if the company observes </w:t>
      </w:r>
      <w:r w:rsidR="00BC1B9D" w:rsidRPr="00187945">
        <w:rPr>
          <w:lang w:val="en-US"/>
        </w:rPr>
        <w:t>any</w:t>
      </w:r>
      <w:r w:rsidRPr="00187945">
        <w:rPr>
          <w:lang w:val="en-US"/>
        </w:rPr>
        <w:t xml:space="preserve"> structural change or other change that has an impact on operations</w:t>
      </w:r>
      <w:r w:rsidR="00BC0B08" w:rsidRPr="00187945">
        <w:rPr>
          <w:lang w:val="en-US"/>
        </w:rPr>
        <w:t>. A request should be made if the change results in a</w:t>
      </w:r>
      <w:r w:rsidR="006F3D7B" w:rsidRPr="00187945">
        <w:rPr>
          <w:lang w:val="en-US"/>
        </w:rPr>
        <w:t xml:space="preserve">n increase or decrease </w:t>
      </w:r>
      <w:r w:rsidR="00BC0B08" w:rsidRPr="00187945">
        <w:rPr>
          <w:lang w:val="en-US"/>
        </w:rPr>
        <w:t>in annual emissions of 20% or more.</w:t>
      </w:r>
      <w:r w:rsidRPr="00187945">
        <w:rPr>
          <w:lang w:val="en-US"/>
        </w:rPr>
        <w:t xml:space="preserve"> </w:t>
      </w:r>
      <w:r w:rsidR="00BC0B08" w:rsidRPr="00187945">
        <w:rPr>
          <w:lang w:val="en-US"/>
        </w:rPr>
        <w:t xml:space="preserve">The request should be initiated </w:t>
      </w:r>
      <w:r w:rsidRPr="00187945">
        <w:rPr>
          <w:lang w:val="en-US"/>
        </w:rPr>
        <w:t xml:space="preserve">within 90 days of the finalization of the changed operations. If a company does not notify the department an allocated carbon budget </w:t>
      </w:r>
      <w:r w:rsidR="001C24A2" w:rsidRPr="00187945">
        <w:rPr>
          <w:lang w:val="en-US"/>
        </w:rPr>
        <w:t>may</w:t>
      </w:r>
      <w:r w:rsidRPr="00187945">
        <w:rPr>
          <w:lang w:val="en-US"/>
        </w:rPr>
        <w:t xml:space="preserve"> be cancelled. </w:t>
      </w:r>
      <w:r w:rsidR="00BC1B9D" w:rsidRPr="00187945">
        <w:rPr>
          <w:lang w:val="en-US"/>
        </w:rPr>
        <w:t>See D5 below.</w:t>
      </w:r>
      <w:r w:rsidR="004077EE" w:rsidRPr="00187945">
        <w:rPr>
          <w:lang w:val="en-US"/>
        </w:rPr>
        <w:t xml:space="preserve"> </w:t>
      </w:r>
    </w:p>
    <w:p w14:paraId="6B5758B1" w14:textId="77777777" w:rsidR="008F6C8F" w:rsidRDefault="004077EE" w:rsidP="001C24A2">
      <w:pPr>
        <w:pStyle w:val="ListParagraph"/>
        <w:rPr>
          <w:lang w:val="en-US"/>
        </w:rPr>
      </w:pPr>
      <w:r w:rsidRPr="00187945">
        <w:rPr>
          <w:lang w:val="en-US"/>
        </w:rPr>
        <w:t>Impacts on operations include:</w:t>
      </w:r>
      <w:r>
        <w:rPr>
          <w:lang w:val="en-US"/>
        </w:rPr>
        <w:t xml:space="preserve"> </w:t>
      </w:r>
    </w:p>
    <w:p w14:paraId="10F26721" w14:textId="77777777" w:rsidR="004077EE" w:rsidRDefault="004077EE" w:rsidP="004077E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Merging or selling of assets</w:t>
      </w:r>
    </w:p>
    <w:p w14:paraId="3E6B14F6" w14:textId="77777777" w:rsidR="001C24A2" w:rsidRPr="001C24A2" w:rsidRDefault="001C24A2" w:rsidP="001C24A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Expansion of</w:t>
      </w:r>
      <w:r w:rsidR="004077EE">
        <w:rPr>
          <w:lang w:val="en-US"/>
        </w:rPr>
        <w:t xml:space="preserve"> production lines</w:t>
      </w:r>
      <w:r>
        <w:rPr>
          <w:lang w:val="en-US"/>
        </w:rPr>
        <w:t>, increased production</w:t>
      </w:r>
    </w:p>
    <w:p w14:paraId="2D0FEF25" w14:textId="77777777" w:rsidR="004077EE" w:rsidRPr="008F6C8F" w:rsidRDefault="004077EE" w:rsidP="004077E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Restructuring the company</w:t>
      </w:r>
    </w:p>
    <w:p w14:paraId="1DD9C299" w14:textId="0F896382" w:rsidR="009A7523" w:rsidRPr="00187945" w:rsidRDefault="009A7523" w:rsidP="00187945">
      <w:pPr>
        <w:rPr>
          <w:lang w:val="en-US"/>
        </w:rPr>
      </w:pPr>
      <w:r w:rsidRPr="00187945">
        <w:rPr>
          <w:lang w:val="en-US"/>
        </w:rPr>
        <w:t xml:space="preserve"> </w:t>
      </w:r>
    </w:p>
    <w:sectPr w:rsidR="009A7523" w:rsidRPr="0018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D18"/>
    <w:multiLevelType w:val="hybridMultilevel"/>
    <w:tmpl w:val="1D9C62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206"/>
    <w:multiLevelType w:val="hybridMultilevel"/>
    <w:tmpl w:val="891ED4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7C8"/>
    <w:multiLevelType w:val="hybridMultilevel"/>
    <w:tmpl w:val="415838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25B1F"/>
    <w:multiLevelType w:val="hybridMultilevel"/>
    <w:tmpl w:val="17AA1E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B2F8E"/>
    <w:multiLevelType w:val="hybridMultilevel"/>
    <w:tmpl w:val="4158382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F346F"/>
    <w:multiLevelType w:val="hybridMultilevel"/>
    <w:tmpl w:val="1D9C62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E6216"/>
    <w:multiLevelType w:val="hybridMultilevel"/>
    <w:tmpl w:val="27EA8D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621"/>
    <w:multiLevelType w:val="hybridMultilevel"/>
    <w:tmpl w:val="DE2011EE"/>
    <w:lvl w:ilvl="0" w:tplc="0E96E9A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00E7C"/>
    <w:multiLevelType w:val="hybridMultilevel"/>
    <w:tmpl w:val="2EA86E24"/>
    <w:lvl w:ilvl="0" w:tplc="0E96E9A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C09000F">
      <w:start w:val="1"/>
      <w:numFmt w:val="decimal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D5"/>
    <w:rsid w:val="00001FB9"/>
    <w:rsid w:val="0000249A"/>
    <w:rsid w:val="00047D2E"/>
    <w:rsid w:val="000603F2"/>
    <w:rsid w:val="000609A4"/>
    <w:rsid w:val="00062290"/>
    <w:rsid w:val="000901F1"/>
    <w:rsid w:val="000B5614"/>
    <w:rsid w:val="000F6C4B"/>
    <w:rsid w:val="00113ECE"/>
    <w:rsid w:val="00181915"/>
    <w:rsid w:val="00187945"/>
    <w:rsid w:val="00194749"/>
    <w:rsid w:val="001C1982"/>
    <w:rsid w:val="001C24A2"/>
    <w:rsid w:val="002253DF"/>
    <w:rsid w:val="00225AE0"/>
    <w:rsid w:val="00251581"/>
    <w:rsid w:val="002762ED"/>
    <w:rsid w:val="002C048B"/>
    <w:rsid w:val="002F53E9"/>
    <w:rsid w:val="002F7F03"/>
    <w:rsid w:val="0032481A"/>
    <w:rsid w:val="003639EC"/>
    <w:rsid w:val="00376D3F"/>
    <w:rsid w:val="003A4E26"/>
    <w:rsid w:val="004077EE"/>
    <w:rsid w:val="004611D2"/>
    <w:rsid w:val="00470A6C"/>
    <w:rsid w:val="0047502F"/>
    <w:rsid w:val="004A7AC8"/>
    <w:rsid w:val="004E2F87"/>
    <w:rsid w:val="004F56B8"/>
    <w:rsid w:val="00530D20"/>
    <w:rsid w:val="00546885"/>
    <w:rsid w:val="00555016"/>
    <w:rsid w:val="005755F4"/>
    <w:rsid w:val="005F4732"/>
    <w:rsid w:val="00630F19"/>
    <w:rsid w:val="00677464"/>
    <w:rsid w:val="00677AD5"/>
    <w:rsid w:val="006A492E"/>
    <w:rsid w:val="006F2A92"/>
    <w:rsid w:val="006F3D7B"/>
    <w:rsid w:val="00731835"/>
    <w:rsid w:val="007E40E3"/>
    <w:rsid w:val="008B395F"/>
    <w:rsid w:val="008C3BBF"/>
    <w:rsid w:val="008F6C8F"/>
    <w:rsid w:val="009A7523"/>
    <w:rsid w:val="009F419B"/>
    <w:rsid w:val="00A01F25"/>
    <w:rsid w:val="00A15485"/>
    <w:rsid w:val="00A16116"/>
    <w:rsid w:val="00A56D64"/>
    <w:rsid w:val="00A623CE"/>
    <w:rsid w:val="00A71D3B"/>
    <w:rsid w:val="00B53DE7"/>
    <w:rsid w:val="00B703D9"/>
    <w:rsid w:val="00B83F63"/>
    <w:rsid w:val="00BC0B08"/>
    <w:rsid w:val="00BC1B9D"/>
    <w:rsid w:val="00BD6356"/>
    <w:rsid w:val="00C41AF2"/>
    <w:rsid w:val="00C6366F"/>
    <w:rsid w:val="00C75B49"/>
    <w:rsid w:val="00CF5674"/>
    <w:rsid w:val="00D62ABF"/>
    <w:rsid w:val="00D745BF"/>
    <w:rsid w:val="00D801F8"/>
    <w:rsid w:val="00D871F2"/>
    <w:rsid w:val="00DC1545"/>
    <w:rsid w:val="00DE14C4"/>
    <w:rsid w:val="00E72EC1"/>
    <w:rsid w:val="00ED484B"/>
    <w:rsid w:val="00F70DB2"/>
    <w:rsid w:val="00FA77B2"/>
    <w:rsid w:val="00FB707B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6077E"/>
  <w15:chartTrackingRefBased/>
  <w15:docId w15:val="{77073A8E-6D0E-4B3E-B9CB-2BC3003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E9"/>
  </w:style>
  <w:style w:type="paragraph" w:styleId="Heading1">
    <w:name w:val="heading 1"/>
    <w:basedOn w:val="Normal"/>
    <w:next w:val="Normal"/>
    <w:link w:val="Heading1Char"/>
    <w:uiPriority w:val="9"/>
    <w:qFormat/>
    <w:rsid w:val="002F53E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3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14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3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3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89B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3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989B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3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3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3E9"/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14C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customStyle="1" w:styleId="Style1">
    <w:name w:val="Style1"/>
    <w:basedOn w:val="Heading1"/>
    <w:link w:val="Style1Char"/>
    <w:qFormat/>
    <w:rsid w:val="002F53E9"/>
    <w:rPr>
      <w:b/>
      <w:color w:val="006600"/>
      <w:sz w:val="24"/>
      <w:lang w:eastAsia="en-ZA"/>
    </w:rPr>
  </w:style>
  <w:style w:type="character" w:customStyle="1" w:styleId="Style1Char">
    <w:name w:val="Style1 Char"/>
    <w:basedOn w:val="Heading1Char"/>
    <w:link w:val="Style1"/>
    <w:rsid w:val="002F53E9"/>
    <w:rPr>
      <w:rFonts w:asciiTheme="majorHAnsi" w:eastAsiaTheme="majorEastAsia" w:hAnsiTheme="majorHAnsi" w:cstheme="majorBidi"/>
      <w:b/>
      <w:color w:val="006600"/>
      <w:sz w:val="24"/>
      <w:szCs w:val="40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2F53E9"/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3E9"/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3E9"/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3E9"/>
    <w:rPr>
      <w:rFonts w:asciiTheme="majorHAnsi" w:eastAsiaTheme="majorEastAsia" w:hAnsiTheme="majorHAnsi" w:cstheme="majorBidi"/>
      <w:color w:val="0989B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3E9"/>
    <w:rPr>
      <w:rFonts w:asciiTheme="majorHAnsi" w:eastAsiaTheme="majorEastAsia" w:hAnsiTheme="majorHAnsi" w:cstheme="majorBidi"/>
      <w:b/>
      <w:bCs/>
      <w:color w:val="0989B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3E9"/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3E9"/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3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F53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F53E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3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F53E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F53E9"/>
    <w:rPr>
      <w:b/>
      <w:bCs/>
    </w:rPr>
  </w:style>
  <w:style w:type="character" w:styleId="Emphasis">
    <w:name w:val="Emphasis"/>
    <w:basedOn w:val="DefaultParagraphFont"/>
    <w:uiPriority w:val="20"/>
    <w:qFormat/>
    <w:rsid w:val="002F53E9"/>
    <w:rPr>
      <w:i/>
      <w:iCs/>
      <w:color w:val="0989B1" w:themeColor="accent6"/>
    </w:rPr>
  </w:style>
  <w:style w:type="paragraph" w:styleId="NoSpacing">
    <w:name w:val="No Spacing"/>
    <w:link w:val="NoSpacingChar"/>
    <w:uiPriority w:val="1"/>
    <w:qFormat/>
    <w:rsid w:val="002F53E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F53E9"/>
  </w:style>
  <w:style w:type="paragraph" w:styleId="ListParagraph">
    <w:name w:val="List Paragraph"/>
    <w:basedOn w:val="Normal"/>
    <w:uiPriority w:val="34"/>
    <w:qFormat/>
    <w:rsid w:val="002F53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53E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F53E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3E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3E9"/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53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53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53E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F53E9"/>
    <w:rPr>
      <w:b/>
      <w:bCs/>
      <w:smallCaps/>
      <w:color w:val="0989B1" w:themeColor="accent6"/>
    </w:rPr>
  </w:style>
  <w:style w:type="character" w:styleId="BookTitle">
    <w:name w:val="Book Title"/>
    <w:basedOn w:val="DefaultParagraphFont"/>
    <w:uiPriority w:val="33"/>
    <w:qFormat/>
    <w:rsid w:val="002F53E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F53E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473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bonBudget@environment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EA corporat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Buchanan</dc:creator>
  <cp:keywords/>
  <dc:description/>
  <cp:lastModifiedBy>Canecia Thobela</cp:lastModifiedBy>
  <cp:revision>2</cp:revision>
  <dcterms:created xsi:type="dcterms:W3CDTF">2022-03-23T14:16:00Z</dcterms:created>
  <dcterms:modified xsi:type="dcterms:W3CDTF">2022-03-23T14:16:00Z</dcterms:modified>
</cp:coreProperties>
</file>